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6673" w:rsidRDefault="00256673" w:rsidP="00256673">
      <w:pPr>
        <w:pStyle w:val="Title"/>
      </w:pPr>
      <w:r>
        <w:t xml:space="preserve">TRIBALISM ASSIGNMENT </w:t>
      </w:r>
    </w:p>
    <w:p w:rsidR="00256673" w:rsidRDefault="00256673" w:rsidP="00256673"/>
    <w:p w:rsidR="00256673" w:rsidRDefault="00256673" w:rsidP="00256673">
      <w:pPr>
        <w:rPr>
          <w:rFonts w:ascii="Georgia" w:hAnsi="Georgia"/>
          <w:color w:val="424242"/>
          <w:sz w:val="30"/>
          <w:szCs w:val="30"/>
          <w:shd w:val="clear" w:color="auto" w:fill="FFFFFF"/>
        </w:rPr>
      </w:pPr>
      <w:r>
        <w:t>1-A</w:t>
      </w:r>
      <w:r>
        <w:rPr>
          <w:rFonts w:ascii="Georgia" w:hAnsi="Georgia"/>
          <w:color w:val="424242"/>
          <w:sz w:val="30"/>
          <w:szCs w:val="30"/>
          <w:shd w:val="clear" w:color="auto" w:fill="FFFFFF"/>
        </w:rPr>
        <w:t>t our core, we humans are tribal. Constantly, our subconscious is bombarded with cues that identify who is “us” and “them.”   Perceived similarities of status and values make it much more likely that we will connect and form lasting bonds with our fellows. </w:t>
      </w:r>
      <w:r>
        <w:rPr>
          <w:rFonts w:ascii="Georgia" w:hAnsi="Georgia"/>
          <w:color w:val="424242"/>
          <w:sz w:val="30"/>
          <w:szCs w:val="30"/>
          <w:shd w:val="clear" w:color="auto" w:fill="FFFFFF"/>
        </w:rPr>
        <w:t>We all need to belong to groups that is why we love certain clubs because we feel that people have resemblance with your identity, you like to hang out with people of similar interest that is why we all humans are tribal animals.</w:t>
      </w:r>
    </w:p>
    <w:p w:rsidR="00256673" w:rsidRDefault="00256673" w:rsidP="00256673">
      <w:pPr>
        <w:rPr>
          <w:rFonts w:ascii="Georgia" w:hAnsi="Georgia"/>
          <w:color w:val="424242"/>
          <w:sz w:val="30"/>
          <w:szCs w:val="30"/>
          <w:shd w:val="clear" w:color="auto" w:fill="FFFFFF"/>
        </w:rPr>
      </w:pPr>
      <w:r>
        <w:rPr>
          <w:rFonts w:ascii="Georgia" w:hAnsi="Georgia"/>
          <w:color w:val="424242"/>
          <w:sz w:val="30"/>
          <w:szCs w:val="30"/>
          <w:shd w:val="clear" w:color="auto" w:fill="FFFFFF"/>
        </w:rPr>
        <w:t>2-The t-shirt experiment is very significant in relating to the basic instinct of c</w:t>
      </w:r>
      <w:r w:rsidR="00C76BC1">
        <w:rPr>
          <w:rFonts w:ascii="Georgia" w:hAnsi="Georgia"/>
          <w:color w:val="424242"/>
          <w:sz w:val="30"/>
          <w:szCs w:val="30"/>
          <w:shd w:val="clear" w:color="auto" w:fill="FFFFFF"/>
        </w:rPr>
        <w:t xml:space="preserve">hildren. When the children were being informed about the charectarstick of children belonging to their group, they automatically were attracted to the people of their group and they only remember positive aspects of people in their group and remember negative aspects of other groups this implies that people only tend to appreciate people of their group and try to victimize people of other </w:t>
      </w:r>
      <w:proofErr w:type="gramStart"/>
      <w:r w:rsidR="00C76BC1">
        <w:rPr>
          <w:rFonts w:ascii="Georgia" w:hAnsi="Georgia"/>
          <w:color w:val="424242"/>
          <w:sz w:val="30"/>
          <w:szCs w:val="30"/>
          <w:shd w:val="clear" w:color="auto" w:fill="FFFFFF"/>
        </w:rPr>
        <w:t>groups .</w:t>
      </w:r>
      <w:proofErr w:type="gramEnd"/>
    </w:p>
    <w:p w:rsidR="00C76BC1" w:rsidRDefault="00C76BC1" w:rsidP="00C76BC1">
      <w:pPr>
        <w:rPr>
          <w:rFonts w:ascii="Georgia" w:hAnsi="Georgia"/>
          <w:color w:val="424242"/>
          <w:sz w:val="30"/>
          <w:szCs w:val="30"/>
          <w:shd w:val="clear" w:color="auto" w:fill="FFFFFF"/>
        </w:rPr>
      </w:pPr>
      <w:r>
        <w:rPr>
          <w:rFonts w:ascii="Georgia" w:hAnsi="Georgia"/>
          <w:color w:val="424242"/>
          <w:sz w:val="30"/>
          <w:szCs w:val="30"/>
          <w:shd w:val="clear" w:color="auto" w:fill="FFFFFF"/>
        </w:rPr>
        <w:t>3-</w:t>
      </w:r>
      <w:r w:rsidRPr="00C76BC1">
        <w:rPr>
          <w:rFonts w:ascii="Georgia" w:hAnsi="Georgia"/>
          <w:color w:val="424242"/>
          <w:sz w:val="30"/>
          <w:szCs w:val="30"/>
          <w:shd w:val="clear" w:color="auto" w:fill="FFFFFF"/>
        </w:rPr>
        <w:t xml:space="preserve">Neurological studies confirm that group identity can even produce physical sensations of satisfaction. Seeing group members prosper seems to activate our brains’ “reward centers” even if we receive no benefit ourselves. Under certain circumstances, our reward centers can also be activated when we see members of an out-group failing or suffering. Mina </w:t>
      </w:r>
      <w:proofErr w:type="spellStart"/>
      <w:r w:rsidRPr="00C76BC1">
        <w:rPr>
          <w:rFonts w:ascii="Georgia" w:hAnsi="Georgia"/>
          <w:color w:val="424242"/>
          <w:sz w:val="30"/>
          <w:szCs w:val="30"/>
          <w:shd w:val="clear" w:color="auto" w:fill="FFFFFF"/>
        </w:rPr>
        <w:t>Cikara</w:t>
      </w:r>
      <w:proofErr w:type="spellEnd"/>
      <w:r w:rsidRPr="00C76BC1">
        <w:rPr>
          <w:rFonts w:ascii="Georgia" w:hAnsi="Georgia"/>
          <w:color w:val="424242"/>
          <w:sz w:val="30"/>
          <w:szCs w:val="30"/>
          <w:shd w:val="clear" w:color="auto" w:fill="FFFFFF"/>
        </w:rPr>
        <w:t>, a psychologist who runs Harvard’s Intergroup Neuroscience Lab, has noted that this is especially true when one group fears or envies another—when, for example, “there’s a long history of riva</w:t>
      </w:r>
      <w:r>
        <w:rPr>
          <w:rFonts w:ascii="Georgia" w:hAnsi="Georgia"/>
          <w:color w:val="424242"/>
          <w:sz w:val="30"/>
          <w:szCs w:val="30"/>
          <w:shd w:val="clear" w:color="auto" w:fill="FFFFFF"/>
        </w:rPr>
        <w:t xml:space="preserve">lry and not liking each </w:t>
      </w:r>
      <w:r w:rsidR="003A3E55">
        <w:rPr>
          <w:rFonts w:ascii="Georgia" w:hAnsi="Georgia"/>
          <w:color w:val="424242"/>
          <w:sz w:val="30"/>
          <w:szCs w:val="30"/>
          <w:shd w:val="clear" w:color="auto" w:fill="FFFFFF"/>
        </w:rPr>
        <w:t xml:space="preserve">other. </w:t>
      </w:r>
      <w:r w:rsidR="003A3E55" w:rsidRPr="00C76BC1">
        <w:rPr>
          <w:rFonts w:ascii="Georgia" w:hAnsi="Georgia"/>
          <w:color w:val="424242"/>
          <w:sz w:val="30"/>
          <w:szCs w:val="30"/>
          <w:shd w:val="clear" w:color="auto" w:fill="FFFFFF"/>
        </w:rPr>
        <w:t>“This</w:t>
      </w:r>
      <w:r w:rsidRPr="00C76BC1">
        <w:rPr>
          <w:rFonts w:ascii="Georgia" w:hAnsi="Georgia"/>
          <w:color w:val="424242"/>
          <w:sz w:val="30"/>
          <w:szCs w:val="30"/>
          <w:shd w:val="clear" w:color="auto" w:fill="FFFFFF"/>
        </w:rPr>
        <w:t xml:space="preserve"> is the dark side of the tribal instinct.</w:t>
      </w:r>
    </w:p>
    <w:p w:rsid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r>
        <w:rPr>
          <w:rFonts w:ascii="Georgia" w:hAnsi="Georgia"/>
          <w:color w:val="424242"/>
          <w:sz w:val="30"/>
          <w:szCs w:val="30"/>
          <w:shd w:val="clear" w:color="auto" w:fill="FFFFFF"/>
        </w:rPr>
        <w:t>5-</w:t>
      </w:r>
      <w:r w:rsidRPr="003A3E55">
        <w:rPr>
          <w:rFonts w:ascii="Arial" w:hAnsi="Arial"/>
          <w:b/>
          <w:bCs/>
          <w:color w:val="000000"/>
          <w:sz w:val="27"/>
          <w:szCs w:val="27"/>
          <w:bdr w:val="none" w:sz="0" w:space="0" w:color="auto" w:frame="1"/>
        </w:rPr>
        <w:t>Social mobility</w:t>
      </w:r>
      <w:r w:rsidRPr="003A3E55">
        <w:rPr>
          <w:rFonts w:ascii="Arial" w:hAnsi="Arial"/>
          <w:color w:val="000000"/>
          <w:sz w:val="27"/>
          <w:szCs w:val="27"/>
        </w:rPr>
        <w:t>, movement of individuals, families, or groups through a system of social </w:t>
      </w:r>
      <w:hyperlink r:id="rId6" w:history="1">
        <w:r w:rsidRPr="003A3E55">
          <w:rPr>
            <w:rFonts w:ascii="Arial" w:hAnsi="Arial"/>
            <w:color w:val="000000"/>
            <w:sz w:val="27"/>
            <w:szCs w:val="27"/>
            <w:u w:val="single"/>
          </w:rPr>
          <w:t>hierarchy</w:t>
        </w:r>
      </w:hyperlink>
      <w:r w:rsidRPr="003A3E55">
        <w:rPr>
          <w:rFonts w:ascii="Arial" w:hAnsi="Arial"/>
          <w:color w:val="000000"/>
          <w:sz w:val="27"/>
          <w:szCs w:val="27"/>
        </w:rPr>
        <w:t> or stratification. If such mobility involves a change in position, especially in occupation, but no change in </w:t>
      </w:r>
      <w:hyperlink r:id="rId7" w:history="1">
        <w:r w:rsidRPr="003A3E55">
          <w:rPr>
            <w:rFonts w:ascii="Arial" w:hAnsi="Arial"/>
            <w:color w:val="106596"/>
            <w:sz w:val="27"/>
            <w:szCs w:val="27"/>
            <w:u w:val="single"/>
          </w:rPr>
          <w:t>social class</w:t>
        </w:r>
      </w:hyperlink>
      <w:r w:rsidRPr="003A3E55">
        <w:rPr>
          <w:rFonts w:ascii="Arial" w:hAnsi="Arial"/>
          <w:color w:val="000000"/>
          <w:sz w:val="27"/>
          <w:szCs w:val="27"/>
        </w:rPr>
        <w:t xml:space="preserve">, it is called “horizontal mobility.” An example would be a person who moves from a managerial position in one company to a similar position in another. If, however, the move involves a change in social class, it is called “vertical mobility” and involves either “upward mobility” or “downward mobility.” An industrial worker who becomes a wealthy businessman moves upward in the </w:t>
      </w:r>
    </w:p>
    <w:p w:rsid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proofErr w:type="gramStart"/>
      <w:r w:rsidRPr="003A3E55">
        <w:rPr>
          <w:rFonts w:ascii="Arial" w:hAnsi="Arial"/>
          <w:color w:val="000000"/>
          <w:sz w:val="27"/>
          <w:szCs w:val="27"/>
        </w:rPr>
        <w:lastRenderedPageBreak/>
        <w:t>class</w:t>
      </w:r>
      <w:proofErr w:type="gramEnd"/>
      <w:r w:rsidRPr="003A3E55">
        <w:rPr>
          <w:rFonts w:ascii="Arial" w:hAnsi="Arial"/>
          <w:color w:val="000000"/>
          <w:sz w:val="27"/>
          <w:szCs w:val="27"/>
        </w:rPr>
        <w:t xml:space="preserve"> system; a landed aristocrat who loses everything in a </w:t>
      </w:r>
      <w:hyperlink r:id="rId8" w:history="1">
        <w:r w:rsidRPr="003A3E55">
          <w:rPr>
            <w:rFonts w:ascii="Arial" w:hAnsi="Arial"/>
            <w:color w:val="106596"/>
            <w:sz w:val="27"/>
            <w:szCs w:val="27"/>
            <w:u w:val="single"/>
          </w:rPr>
          <w:t>revolution</w:t>
        </w:r>
      </w:hyperlink>
      <w:r w:rsidRPr="003A3E55">
        <w:rPr>
          <w:rFonts w:ascii="Arial" w:hAnsi="Arial"/>
          <w:color w:val="000000"/>
          <w:sz w:val="27"/>
          <w:szCs w:val="27"/>
        </w:rPr>
        <w:t> moves downward in the system.</w:t>
      </w:r>
    </w:p>
    <w:p w:rsid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r>
        <w:rPr>
          <w:rFonts w:ascii="Arial" w:hAnsi="Arial"/>
          <w:color w:val="000000"/>
          <w:sz w:val="27"/>
          <w:szCs w:val="27"/>
        </w:rPr>
        <w:t>Source-</w:t>
      </w:r>
      <w:r w:rsidRPr="003A3E55">
        <w:rPr>
          <w:rFonts w:ascii="Arial" w:hAnsi="Arial"/>
          <w:color w:val="000000"/>
          <w:sz w:val="27"/>
          <w:szCs w:val="27"/>
        </w:rPr>
        <w:t>https://www.britannica.com/topic/social-mobility</w:t>
      </w:r>
    </w:p>
    <w:p w:rsid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p>
    <w:p w:rsid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r>
        <w:rPr>
          <w:rFonts w:ascii="Arial" w:hAnsi="Arial"/>
          <w:color w:val="000000"/>
          <w:sz w:val="27"/>
          <w:szCs w:val="27"/>
        </w:rPr>
        <w:t>6-</w:t>
      </w:r>
      <w:r w:rsidRPr="003A3E55">
        <w:rPr>
          <w:rFonts w:ascii="Arial" w:hAnsi="Arial"/>
          <w:color w:val="000000"/>
          <w:sz w:val="27"/>
          <w:szCs w:val="27"/>
        </w:rPr>
        <w:t>Economic inequalities are most obviously shown by people’s different positions within the economic distribution - income, pay, wealth. However, people’s economic positions are also related to other characteristics, such as whether or not they have a disability, their ethnic background, or whether they are a man or a woman. While The Equality Trust recognises the importance of these measures, the focus of our work is specifically the gap between the well-off and the less well-off in the overall economic distribution. This is reflected in the choice of terms and statistics in this section.</w:t>
      </w:r>
    </w:p>
    <w:p w:rsid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r>
        <w:rPr>
          <w:rFonts w:ascii="Arial" w:hAnsi="Arial"/>
          <w:color w:val="000000"/>
          <w:sz w:val="27"/>
          <w:szCs w:val="27"/>
        </w:rPr>
        <w:t>Source-</w:t>
      </w:r>
      <w:r w:rsidRPr="003A3E55">
        <w:rPr>
          <w:rFonts w:ascii="Arial" w:hAnsi="Arial"/>
          <w:color w:val="000000"/>
          <w:sz w:val="27"/>
          <w:szCs w:val="27"/>
        </w:rPr>
        <w:t>https://www.equalitytrust.org.uk/how-economic-inequality-defined</w:t>
      </w:r>
    </w:p>
    <w:p w:rsidR="003A3E55" w:rsidRPr="003A3E55" w:rsidRDefault="003A3E55" w:rsidP="003A3E55">
      <w:pPr>
        <w:pStyle w:val="NormalWeb"/>
        <w:shd w:val="clear" w:color="auto" w:fill="FFFFFF"/>
        <w:spacing w:before="0" w:beforeAutospacing="0" w:after="0" w:afterAutospacing="0"/>
        <w:textAlignment w:val="baseline"/>
        <w:rPr>
          <w:rFonts w:ascii="Arial" w:hAnsi="Arial"/>
          <w:color w:val="000000"/>
          <w:sz w:val="27"/>
          <w:szCs w:val="27"/>
        </w:rPr>
      </w:pPr>
      <w:r>
        <w:rPr>
          <w:rFonts w:ascii="Arial" w:hAnsi="Arial"/>
          <w:color w:val="000000"/>
          <w:sz w:val="27"/>
          <w:szCs w:val="27"/>
        </w:rPr>
        <w:t>7-</w:t>
      </w:r>
      <w:bookmarkStart w:id="0" w:name="_GoBack"/>
      <w:bookmarkEnd w:id="0"/>
    </w:p>
    <w:p w:rsidR="003A3E55" w:rsidRPr="003A3E55" w:rsidRDefault="003A3E55" w:rsidP="003A3E55">
      <w:pPr>
        <w:spacing w:before="750" w:after="750" w:line="330" w:lineRule="atLeast"/>
        <w:ind w:left="750" w:right="750"/>
        <w:rPr>
          <w:rFonts w:ascii="Times New Roman" w:eastAsia="Times New Roman" w:hAnsi="Times New Roman" w:cs="Times New Roman"/>
          <w:color w:val="106596"/>
          <w:sz w:val="24"/>
          <w:szCs w:val="24"/>
          <w:u w:val="single"/>
          <w:bdr w:val="single" w:sz="6" w:space="4" w:color="CCCCCC" w:frame="1"/>
          <w:shd w:val="clear" w:color="auto" w:fill="FFFFFF"/>
          <w:lang w:eastAsia="en-CA"/>
        </w:rPr>
      </w:pPr>
      <w:r w:rsidRPr="003A3E55">
        <w:rPr>
          <w:rFonts w:ascii="Times New Roman" w:eastAsia="Times New Roman" w:hAnsi="Times New Roman" w:cs="Times New Roman"/>
          <w:sz w:val="24"/>
          <w:szCs w:val="24"/>
          <w:lang w:eastAsia="en-CA"/>
        </w:rPr>
        <w:fldChar w:fldCharType="begin"/>
      </w:r>
      <w:r w:rsidRPr="003A3E55">
        <w:rPr>
          <w:rFonts w:ascii="Times New Roman" w:eastAsia="Times New Roman" w:hAnsi="Times New Roman" w:cs="Times New Roman"/>
          <w:sz w:val="24"/>
          <w:szCs w:val="24"/>
          <w:lang w:eastAsia="en-CA"/>
        </w:rPr>
        <w:instrText xml:space="preserve"> HYPERLINK "https://www.britannica.com/place/Latin-America/Building-new-nations-1826-50" \l "ref360028" </w:instrText>
      </w:r>
      <w:r w:rsidRPr="003A3E55">
        <w:rPr>
          <w:rFonts w:ascii="Times New Roman" w:eastAsia="Times New Roman" w:hAnsi="Times New Roman" w:cs="Times New Roman"/>
          <w:sz w:val="24"/>
          <w:szCs w:val="24"/>
          <w:lang w:eastAsia="en-CA"/>
        </w:rPr>
        <w:fldChar w:fldCharType="separate"/>
      </w:r>
    </w:p>
    <w:p w:rsidR="003A3E55" w:rsidRDefault="003A3E55" w:rsidP="003A3E55">
      <w:pPr>
        <w:rPr>
          <w:rFonts w:ascii="Georgia" w:hAnsi="Georgia"/>
          <w:color w:val="424242"/>
          <w:sz w:val="30"/>
          <w:szCs w:val="30"/>
          <w:shd w:val="clear" w:color="auto" w:fill="FFFFFF"/>
        </w:rPr>
      </w:pPr>
      <w:r w:rsidRPr="003A3E55">
        <w:rPr>
          <w:rFonts w:ascii="Times New Roman" w:eastAsia="Times New Roman" w:hAnsi="Times New Roman" w:cs="Times New Roman"/>
          <w:sz w:val="24"/>
          <w:szCs w:val="24"/>
          <w:lang w:eastAsia="en-CA"/>
        </w:rPr>
        <w:fldChar w:fldCharType="end"/>
      </w:r>
    </w:p>
    <w:p w:rsidR="00256673" w:rsidRPr="00256673" w:rsidRDefault="00256673" w:rsidP="00256673">
      <w:r>
        <w:rPr>
          <w:rFonts w:ascii="Georgia" w:hAnsi="Georgia"/>
          <w:color w:val="424242"/>
          <w:sz w:val="30"/>
          <w:szCs w:val="30"/>
          <w:shd w:val="clear" w:color="auto" w:fill="FFFFFF"/>
        </w:rPr>
        <w:t xml:space="preserve"> </w:t>
      </w:r>
    </w:p>
    <w:sectPr w:rsidR="00256673" w:rsidRPr="0025667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3E55" w:rsidRDefault="003A3E55" w:rsidP="003A3E55">
      <w:pPr>
        <w:spacing w:after="0" w:line="240" w:lineRule="auto"/>
      </w:pPr>
      <w:r>
        <w:separator/>
      </w:r>
    </w:p>
  </w:endnote>
  <w:endnote w:type="continuationSeparator" w:id="0">
    <w:p w:rsidR="003A3E55" w:rsidRDefault="003A3E55" w:rsidP="003A3E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3E55" w:rsidRDefault="003A3E55" w:rsidP="003A3E55">
      <w:pPr>
        <w:spacing w:after="0" w:line="240" w:lineRule="auto"/>
      </w:pPr>
      <w:r>
        <w:separator/>
      </w:r>
    </w:p>
  </w:footnote>
  <w:footnote w:type="continuationSeparator" w:id="0">
    <w:p w:rsidR="003A3E55" w:rsidRDefault="003A3E55" w:rsidP="003A3E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673"/>
    <w:rsid w:val="00256673"/>
    <w:rsid w:val="003A3E55"/>
    <w:rsid w:val="00C76BC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D923A"/>
  <w15:chartTrackingRefBased/>
  <w15:docId w15:val="{6890ACE1-0F47-4A50-8F61-BBB800786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5667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6673"/>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3A3E5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3A3E55"/>
    <w:rPr>
      <w:b/>
      <w:bCs/>
    </w:rPr>
  </w:style>
  <w:style w:type="character" w:styleId="Hyperlink">
    <w:name w:val="Hyperlink"/>
    <w:basedOn w:val="DefaultParagraphFont"/>
    <w:uiPriority w:val="99"/>
    <w:semiHidden/>
    <w:unhideWhenUsed/>
    <w:rsid w:val="003A3E55"/>
    <w:rPr>
      <w:color w:val="0000FF"/>
      <w:u w:val="single"/>
    </w:rPr>
  </w:style>
  <w:style w:type="paragraph" w:styleId="Header">
    <w:name w:val="header"/>
    <w:basedOn w:val="Normal"/>
    <w:link w:val="HeaderChar"/>
    <w:uiPriority w:val="99"/>
    <w:unhideWhenUsed/>
    <w:rsid w:val="003A3E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3E55"/>
  </w:style>
  <w:style w:type="paragraph" w:styleId="Footer">
    <w:name w:val="footer"/>
    <w:basedOn w:val="Normal"/>
    <w:link w:val="FooterChar"/>
    <w:uiPriority w:val="99"/>
    <w:unhideWhenUsed/>
    <w:rsid w:val="003A3E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3E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6290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annica.com/topic/revolution-politics" TargetMode="External"/><Relationship Id="rId3" Type="http://schemas.openxmlformats.org/officeDocument/2006/relationships/webSettings" Target="webSettings.xml"/><Relationship Id="rId7" Type="http://schemas.openxmlformats.org/officeDocument/2006/relationships/hyperlink" Target="https://www.britannica.com/topic/social-clas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rriam-webster.com/dictionary/hierarchy"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503</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School District #36 (Surrey)</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Mohul Sachdeva</dc:creator>
  <cp:keywords/>
  <dc:description/>
  <cp:lastModifiedBy>Mohul Sachdeva</cp:lastModifiedBy>
  <cp:revision>1</cp:revision>
  <dcterms:created xsi:type="dcterms:W3CDTF">2019-05-08T21:46:00Z</dcterms:created>
  <dcterms:modified xsi:type="dcterms:W3CDTF">2019-05-08T22:23:00Z</dcterms:modified>
</cp:coreProperties>
</file>